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deuteronomy-25"/>
    <w:p>
      <w:pPr>
        <w:pStyle w:val="Heading1"/>
      </w:pPr>
      <w:r>
        <w:t xml:space="preserve">Homiletics Analysis: Deuteronomy 25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Deuteronomy 25 concludes a section of covenant law with a cluster of regulations spanning five distinct topics: the limits on flogging as judicial punishment (vv. 1–3), the requirement to muzzle the ox (vv. 4), levirate marriage obligations protecting a widow and a family name (vv. 5–10), the penalty for a woman who seizes an attacker’s genitals (vv. 11–12), the prohibition of dishonest weights and measures (vv. 13–16), and the command to remember and ultimately blot out the memory of Amalek (vv. 17–19). The chapter moves through civil, commercial, familial, and military-historical domains with apparent topical diversity. Yet beneath this diversity runs a consistent concern: the preservation of dignity, integrity, and covenant fidelity in Israel’s common life. Even the most severe or puzzling laws (vv. 11–12; vv. 17–19) operate within the larger logic of a community called to reflect God’s character in every dimension of public and private conduct.</w:t>
      </w:r>
    </w:p>
    <w:p>
      <w:pPr>
        <w:pStyle w:val="BodyText"/>
      </w:pPr>
      <w:r>
        <w:rPr>
          <w:b/>
          <w:bCs/>
        </w:rPr>
        <w:t xml:space="preserve">This Text — Intent:</w:t>
      </w:r>
    </w:p>
    <w:p>
      <w:pPr>
        <w:pStyle w:val="BodyText"/>
      </w:pPr>
      <w:r>
        <w:t xml:space="preserve">God is pressing Israel — and through Israel, every covenant community — to understand that holiness is not sectioned off in sanctuary ritual but worked out in the grain of daily social, commercial, and communal life. Every law in this chapter guards something: human dignity in punishment, the laborer’s right to benefit from his own work, the continuation of a family line, the integrity of commercial exchange, and the memory of covenant faithfulness against those who despised it. God’s intent is to form a community in which no corner of common life is exempt from the claim of covenant loyalty — and in which the weakest, the most vulnerable, and the most easily forgotten are specifically protected. The closing Amalek command reminds Israel that the covenant has enemies who must be named and opposed, not accommodated.</w:t>
      </w:r>
    </w:p>
    <w:p>
      <w:r>
        <w:pict>
          <v:rect style="width:0;height:1.5pt" o:hralign="center" o:hrstd="t" o:hr="t"/>
        </w:pict>
      </w:r>
    </w:p>
    <w:p>
      <w:pPr>
        <w:pStyle w:val="FirstParagraph"/>
      </w:pPr>
      <w:r>
        <w:rPr>
          <w:b/>
          <w:bCs/>
        </w:rPr>
        <w:t xml:space="preserve">Subject Sentence:</w:t>
      </w:r>
      <w:r>
        <w:t xml:space="preserve"> </w:t>
      </w:r>
      <w:r>
        <w:t xml:space="preserve">Covenant holiness governs every domain of Israel’s common life — from the courtroom to the marketplace to the family to the battlefield.</w:t>
      </w:r>
    </w:p>
    <w:p>
      <w:r>
        <w:pict>
          <v:rect style="width:0;height:1.5pt" o:hralign="center" o:hrstd="t" o:hr="t"/>
        </w:pict>
      </w:r>
    </w:p>
    <w:p>
      <w:pPr>
        <w:pStyle w:val="FirstParagraph"/>
      </w:pPr>
      <w:r>
        <w:rPr>
          <w:b/>
          <w:bCs/>
        </w:rPr>
        <w:t xml:space="preserve">Primary Claim:</w:t>
      </w:r>
      <w:r>
        <w:t xml:space="preserve"> </w:t>
      </w:r>
      <w:r>
        <w:t xml:space="preserve">God calls His covenant people to inhabit every dimension of common life with the integrity, dignity, and loyalty that reflects His own character — and to resist whatever opposes or degrades that calling.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On the levirate marriage law (vv. 5–10):</w:t>
      </w:r>
      <w:r>
        <w:t xml:space="preserve"> </w:t>
      </w:r>
      <w:r>
        <w:t xml:space="preserve">The levirate obligation has generated divergent interpretations regarding its scope and moral force. Some traditions read it as a timeless moral norm — a universal family obligation toward widows — and apply it directly to contemporary family practice. Wesleyan and Roman Catholic traditions tend to emphasize the ongoing moral weight of family duty, sometimes importing the levirate principle into inheritance and care obligations. This can be</w:t>
      </w:r>
      <w:r>
        <w:t xml:space="preserve"> </w:t>
      </w:r>
      <w:r>
        <w:rPr>
          <w:i/>
          <w:iCs/>
        </w:rPr>
        <w:t xml:space="preserve">acknowledged</w:t>
      </w:r>
      <w:r>
        <w:t xml:space="preserve"> </w:t>
      </w:r>
      <w:r>
        <w:t xml:space="preserve">insofar as the underlying concern — protecting the vulnerable widow and preserving family continuity — does carry moral weight across cultures. However, the specific levirate mechanism is tied to Israel’s tribal land-tenure system, the theological significance of the family name in the covenant community, and the anticipation of an heir through whom God’s covenant promises would advance. The Reformed reading</w:t>
      </w:r>
      <w:r>
        <w:t xml:space="preserve"> </w:t>
      </w:r>
      <w:r>
        <w:rPr>
          <w:i/>
          <w:iCs/>
        </w:rPr>
        <w:t xml:space="preserve">qualifies</w:t>
      </w:r>
      <w:r>
        <w:t xml:space="preserve"> </w:t>
      </w:r>
      <w:r>
        <w:t xml:space="preserve">the direct application: the specific mechanism is culturally embedded, but the principle of family solidarity, care for vulnerable widows, and refusing to dishonor one’s kin remains a moral claim. The sandal-removal ceremony and the public shaming of vv. 9–10 should be read as a social mechanism for enforcing a genuine obligation, not merely as a curious ancient custom.</w:t>
      </w:r>
    </w:p>
    <w:p>
      <w:pPr>
        <w:pStyle w:val="BodyText"/>
      </w:pPr>
      <w:r>
        <w:rPr>
          <w:b/>
          <w:bCs/>
        </w:rPr>
        <w:t xml:space="preserve">On the muzzled ox (v. 4):</w:t>
      </w:r>
      <w:r>
        <w:t xml:space="preserve"> </w:t>
      </w:r>
      <w:r>
        <w:t xml:space="preserve">This single verse is exegetically significant because Paul explicitly quotes it in 1 Corinthians 9:9 and 1 Timothy 5:18 as warrant for paying ministers of the gospel. Some interpreters — particularly dispensational readers — find Paul’s use puzzling or strained, arguing that Paul is reading meaning into a purely agricultural regulation. This can be</w:t>
      </w:r>
      <w:r>
        <w:t xml:space="preserve"> </w:t>
      </w:r>
      <w:r>
        <w:rPr>
          <w:i/>
          <w:iCs/>
        </w:rPr>
        <w:t xml:space="preserve">refuted</w:t>
      </w:r>
      <w:r>
        <w:t xml:space="preserve"> </w:t>
      </w:r>
      <w:r>
        <w:t xml:space="preserve">at the level of hermeneutical principle: Paul’s use reflects a consistent biblical pattern in which God’s care for the laboring animal reveals a principle about the laborer’s right to benefit from his work. Paul himself makes the hermeneutical move explicit:</w:t>
      </w:r>
      <w:r>
        <w:t xml:space="preserve"> </w:t>
      </w:r>
      <w:r>
        <w:t xml:space="preserve">“Is it for oxen that God is concerned? Does he not certainly speak for our sake?”</w:t>
      </w:r>
      <w:r>
        <w:t xml:space="preserve"> </w:t>
      </w:r>
      <w:r>
        <w:t xml:space="preserve">(1 Cor. 9:9–10). The Reformed reading embraces this canonical extension as legitimate analogical reasoning embedded in the text’s own intent — God is not merely legislating animal welfare but inscribing a principle of just compensation that applies wherever labor and its fruit are in view.</w:t>
      </w:r>
    </w:p>
    <w:p>
      <w:pPr>
        <w:pStyle w:val="BodyText"/>
      </w:pPr>
      <w:r>
        <w:rPr>
          <w:b/>
          <w:bCs/>
        </w:rPr>
        <w:t xml:space="preserve">On the Amalek command (vv. 17–19):</w:t>
      </w:r>
      <w:r>
        <w:t xml:space="preserve"> </w:t>
      </w:r>
      <w:r>
        <w:t xml:space="preserve">The command to</w:t>
      </w:r>
      <w:r>
        <w:t xml:space="preserve"> </w:t>
      </w:r>
      <w:r>
        <w:t xml:space="preserve">“blot out the memory of Amalek”</w:t>
      </w:r>
      <w:r>
        <w:t xml:space="preserve"> </w:t>
      </w:r>
      <w:r>
        <w:t xml:space="preserve">is among the most contested texts in Deuteronomy. Several lines of misreading must be addressed. First, some readers — particularly in progressive theological traditions — treat this command as morally sub-Christian, an embarrassing artifact of tribal religion that must be bracketed or allegorized away. This reading</w:t>
      </w:r>
      <w:r>
        <w:t xml:space="preserve"> </w:t>
      </w:r>
      <w:r>
        <w:rPr>
          <w:i/>
          <w:iCs/>
        </w:rPr>
        <w:t xml:space="preserve">refutes itself</w:t>
      </w:r>
      <w:r>
        <w:t xml:space="preserve"> </w:t>
      </w:r>
      <w:r>
        <w:t xml:space="preserve">on canonical grounds: the command is explicitly grounded in Amalek’s cowardly assault on the weakest Israelites (v. 18) and in their utter disregard for God (v. 18b,</w:t>
      </w:r>
      <w:r>
        <w:t xml:space="preserve"> </w:t>
      </w:r>
      <w:r>
        <w:t xml:space="preserve">“he did not fear God”</w:t>
      </w:r>
      <w:r>
        <w:t xml:space="preserve">). This is not ethnic violence but covenantal judgment against a specific community defined by its persistent opposition to God’s people and its contempt for God Himself. Second, the command has been misread as a license for contemporary religious violence — a misreading that fails to account for the unique, once-for-all nature of Israel’s theocratic commission and the canonical closure of the Amalek narrative in Samuel. The Reformed reading treats the Amalek command as belonging to Israel’s unique redemptive-historical role and does not generalize it into a perpetual warrant for violence against perceived enemies of the church. Third, some allegorical traditions (particularly patristic and some medieval) read Amalek purely as a symbol of sin to be</w:t>
      </w:r>
      <w:r>
        <w:t xml:space="preserve"> </w:t>
      </w:r>
      <w:r>
        <w:t xml:space="preserve">“blotted out”</w:t>
      </w:r>
      <w:r>
        <w:t xml:space="preserve"> </w:t>
      </w:r>
      <w:r>
        <w:t xml:space="preserve">internally — valuable as a devotional application but insufficient as exegesis. The command is historically grounded in real events and a real people.</w:t>
      </w:r>
    </w:p>
    <w:p>
      <w:pPr>
        <w:pStyle w:val="BodyText"/>
      </w:pPr>
      <w:r>
        <w:rPr>
          <w:b/>
          <w:bCs/>
        </w:rPr>
        <w:t xml:space="preserve">On the dishonest weights (vv. 13–16):</w:t>
      </w:r>
      <w:r>
        <w:t xml:space="preserve"> </w:t>
      </w:r>
      <w:r>
        <w:t xml:space="preserve">No significant hermeneutical divergence exists here. All traditions recognize the moral force of this prohibition and its applicability across commercial contexts. The Reformed tradition is especially attentive to its covenantal grounding — commercial fraud is not merely an economic crime but a covenant violation, a failure to reflect God’s own truthfulness in the marketplace.</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Leviticus 19:35–36</w:t>
      </w:r>
      <w:r>
        <w:t xml:space="preserve"> </w:t>
      </w:r>
      <w:r>
        <w:t xml:space="preserve">— Prohibits dishonest weights using the same grounding:</w:t>
      </w:r>
      <w:r>
        <w:t xml:space="preserve"> </w:t>
      </w:r>
      <w:r>
        <w:t xml:space="preserve">“I am the LORD your God who brought you out of Egypt.”</w:t>
      </w:r>
      <w:r>
        <w:t xml:space="preserve"> </w:t>
      </w:r>
      <w:r>
        <w:t xml:space="preserve">Commercial integrity is covenant obedience, not merely civil ethics.</w:t>
      </w:r>
    </w:p>
    <w:p>
      <w:pPr>
        <w:pStyle w:val="Compact"/>
        <w:numPr>
          <w:ilvl w:val="0"/>
          <w:numId w:val="1001"/>
        </w:numPr>
      </w:pPr>
      <w:r>
        <w:rPr>
          <w:b/>
          <w:bCs/>
        </w:rPr>
        <w:t xml:space="preserve">Ruth 4:1–12</w:t>
      </w:r>
      <w:r>
        <w:t xml:space="preserve"> </w:t>
      </w:r>
      <w:r>
        <w:t xml:space="preserve">— The levirate obligation in narrative form: Boaz’s redemption of Ruth demonstrates both the force of the kinship-redeemer duty and the public legal mechanism for its execution or refusal — directly illustrating Deuteronomy 25:5–10.</w:t>
      </w:r>
    </w:p>
    <w:p>
      <w:pPr>
        <w:pStyle w:val="Compact"/>
        <w:numPr>
          <w:ilvl w:val="0"/>
          <w:numId w:val="1001"/>
        </w:numPr>
      </w:pPr>
      <w:r>
        <w:rPr>
          <w:b/>
          <w:bCs/>
        </w:rPr>
        <w:t xml:space="preserve">1 Corinthians 9:9–10 / 1 Timothy 5:18</w:t>
      </w:r>
      <w:r>
        <w:t xml:space="preserve"> </w:t>
      </w:r>
      <w:r>
        <w:t xml:space="preserve">— Paul’s canonical extension of the muzzled-ox principle (v. 4) to gospel ministry, validating the hermeneutical move from animal-labor law to human-labor principle and establishing it as dominically authorized.</w:t>
      </w:r>
    </w:p>
    <w:p>
      <w:pPr>
        <w:pStyle w:val="Compact"/>
        <w:numPr>
          <w:ilvl w:val="0"/>
          <w:numId w:val="1001"/>
        </w:numPr>
      </w:pPr>
      <w:r>
        <w:rPr>
          <w:b/>
          <w:bCs/>
        </w:rPr>
        <w:t xml:space="preserve">1 Samuel 15</w:t>
      </w:r>
      <w:r>
        <w:t xml:space="preserve"> </w:t>
      </w:r>
      <w:r>
        <w:t xml:space="preserve">— Saul’s failure to execute the Amalek command becomes a defining moment of covenant disobedience, demonstrating that the vv. 17–19 command carried genuine theological weight and was not merely rhetorical.</w:t>
      </w:r>
    </w:p>
    <w:p>
      <w:pPr>
        <w:pStyle w:val="Compact"/>
        <w:numPr>
          <w:ilvl w:val="0"/>
          <w:numId w:val="1001"/>
        </w:numPr>
      </w:pPr>
      <w:r>
        <w:rPr>
          <w:b/>
          <w:bCs/>
        </w:rPr>
        <w:t xml:space="preserve">Proverbs 11:1; 16:11</w:t>
      </w:r>
      <w:r>
        <w:t xml:space="preserve"> </w:t>
      </w:r>
      <w:r>
        <w:t xml:space="preserve">—</w:t>
      </w:r>
      <w:r>
        <w:t xml:space="preserve"> </w:t>
      </w:r>
      <w:r>
        <w:t xml:space="preserve">“A false balance is an abomination to the LORD”</w:t>
      </w:r>
      <w:r>
        <w:t xml:space="preserve"> </w:t>
      </w:r>
      <w:r>
        <w:t xml:space="preserve">— wisdom literature confirming that commercial integrity is a direct expression of the fear of God, reinforcing the Deuteronomy 25:13–16 prohibition.</w:t>
      </w:r>
    </w:p>
    <w:p>
      <w:r>
        <w:pict>
          <v:rect style="width:0;height:1.5pt" o:hralign="center" o:hrstd="t" o:hr="t"/>
        </w:pict>
      </w:r>
    </w:p>
    <w:p>
      <w:pPr>
        <w:pStyle w:val="FirstParagraph"/>
      </w:pPr>
      <w:r>
        <w:rPr>
          <w:b/>
          <w:bCs/>
        </w:rPr>
        <w:t xml:space="preserve">Aim:</w:t>
      </w:r>
      <w:r>
        <w:t xml:space="preserve"> </w:t>
      </w:r>
      <w:r>
        <w:t xml:space="preserve">To show that God’s covenant claim on His people extends without remainder into every domain of common life — the courtroom, the workplace, the family, the marketplace, and the public memory — and that inhabiting each domain with integrity is itself an act of worship.</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Judicial flogging regulated: guilt determined, punishment proportionate, maximum forty lashes, no excess that would</w:t>
            </w:r>
            <w:r>
              <w:t xml:space="preserve"> </w:t>
            </w:r>
            <w:r>
              <w:t xml:space="preserve">“degrade”</w:t>
            </w:r>
            <w:r>
              <w:t xml:space="preserve"> </w:t>
            </w:r>
            <w:r>
              <w:t xml:space="preserve">a brother</w:t>
            </w:r>
          </w:p>
        </w:tc>
        <w:tc>
          <w:tcPr/>
          <w:p>
            <w:pPr>
              <w:pStyle w:val="Compact"/>
            </w:pPr>
            <w:r>
              <w:t xml:space="preserve">The word</w:t>
            </w:r>
            <w:r>
              <w:t xml:space="preserve"> </w:t>
            </w:r>
            <w:r>
              <w:t xml:space="preserve">“degrade”</w:t>
            </w:r>
            <w:r>
              <w:t xml:space="preserve"> </w:t>
            </w:r>
            <w:r>
              <w:t xml:space="preserve">(naqleh) is key — even the guilty retain human dignity as covenant members</w:t>
            </w:r>
          </w:p>
        </w:tc>
      </w:tr>
      <w:tr>
        <w:tc>
          <w:tcPr/>
          <w:p>
            <w:pPr>
              <w:pStyle w:val="Compact"/>
            </w:pPr>
            <w:r>
              <w:t xml:space="preserve">4</w:t>
            </w:r>
          </w:p>
        </w:tc>
        <w:tc>
          <w:tcPr/>
          <w:p>
            <w:pPr>
              <w:pStyle w:val="Compact"/>
            </w:pPr>
            <w:r>
              <w:t xml:space="preserve">Prohibition against muzzling the threshing ox — the laboring animal must benefit from its own labor</w:t>
            </w:r>
          </w:p>
        </w:tc>
        <w:tc>
          <w:tcPr/>
          <w:p>
            <w:pPr>
              <w:pStyle w:val="Compact"/>
            </w:pPr>
            <w:r>
              <w:t xml:space="preserve">Single verse; enormous canonical weight via Paul’s use in 1 Cor. 9 and 1 Tim. 5</w:t>
            </w:r>
          </w:p>
        </w:tc>
      </w:tr>
      <w:tr>
        <w:tc>
          <w:tcPr/>
          <w:p>
            <w:pPr>
              <w:pStyle w:val="Compact"/>
            </w:pPr>
            <w:r>
              <w:t xml:space="preserve">5–6</w:t>
            </w:r>
          </w:p>
        </w:tc>
        <w:tc>
          <w:tcPr/>
          <w:p>
            <w:pPr>
              <w:pStyle w:val="Compact"/>
            </w:pPr>
            <w:r>
              <w:t xml:space="preserve">Levirate duty: the surviving brother of a deceased childless man must marry the widow; firstborn son carries the dead brother’s name</w:t>
            </w:r>
          </w:p>
        </w:tc>
        <w:tc>
          <w:tcPr/>
          <w:p>
            <w:pPr>
              <w:pStyle w:val="Compact"/>
            </w:pPr>
            <w:r>
              <w:t xml:space="preserve">Preserves family line, inheritance, and participation in covenant community</w:t>
            </w:r>
          </w:p>
        </w:tc>
      </w:tr>
      <w:tr>
        <w:tc>
          <w:tcPr/>
          <w:p>
            <w:pPr>
              <w:pStyle w:val="Compact"/>
            </w:pPr>
            <w:r>
              <w:t xml:space="preserve">7–10</w:t>
            </w:r>
          </w:p>
        </w:tc>
        <w:tc>
          <w:tcPr/>
          <w:p>
            <w:pPr>
              <w:pStyle w:val="Compact"/>
            </w:pPr>
            <w:r>
              <w:t xml:space="preserve">Refusal of levirate duty: public ceremony before elders, sandal removed, face spat upon, family name disgraced —</w:t>
            </w:r>
            <w:r>
              <w:t xml:space="preserve"> </w:t>
            </w:r>
            <w:r>
              <w:t xml:space="preserve">“House of the Unsandaled”</w:t>
            </w:r>
          </w:p>
        </w:tc>
        <w:tc>
          <w:tcPr/>
          <w:p>
            <w:pPr>
              <w:pStyle w:val="Compact"/>
            </w:pPr>
            <w:r>
              <w:t xml:space="preserve">Social shame mechanism enforcing a genuine obligation; not optional</w:t>
            </w:r>
          </w:p>
        </w:tc>
      </w:tr>
      <w:tr>
        <w:tc>
          <w:tcPr/>
          <w:p>
            <w:pPr>
              <w:pStyle w:val="Compact"/>
            </w:pPr>
            <w:r>
              <w:t xml:space="preserve">11–12</w:t>
            </w:r>
          </w:p>
        </w:tc>
        <w:tc>
          <w:tcPr/>
          <w:p>
            <w:pPr>
              <w:pStyle w:val="Compact"/>
            </w:pPr>
            <w:r>
              <w:t xml:space="preserve">Penalty for a woman who seizes an attacker’s genitals to defend her husband — her hand cut off, no pity</w:t>
            </w:r>
          </w:p>
        </w:tc>
        <w:tc>
          <w:tcPr/>
          <w:p>
            <w:pPr>
              <w:pStyle w:val="Compact"/>
            </w:pPr>
            <w:r>
              <w:t xml:space="preserve">Most puzzling law in the chapter; concerns protection of procreative capacity and restraint even in defensive action</w:t>
            </w:r>
          </w:p>
        </w:tc>
      </w:tr>
      <w:tr>
        <w:tc>
          <w:tcPr/>
          <w:p>
            <w:pPr>
              <w:pStyle w:val="Compact"/>
            </w:pPr>
            <w:r>
              <w:t xml:space="preserve">13–16</w:t>
            </w:r>
          </w:p>
        </w:tc>
        <w:tc>
          <w:tcPr/>
          <w:p>
            <w:pPr>
              <w:pStyle w:val="Compact"/>
            </w:pPr>
            <w:r>
              <w:t xml:space="preserve">Prohibition of two sets of weights and measures —</w:t>
            </w:r>
            <w:r>
              <w:t xml:space="preserve"> </w:t>
            </w:r>
            <w:r>
              <w:t xml:space="preserve">“full and fair”</w:t>
            </w:r>
            <w:r>
              <w:t xml:space="preserve"> </w:t>
            </w:r>
            <w:r>
              <w:t xml:space="preserve">weights required; covenant blessing tied to commercial honesty</w:t>
            </w:r>
          </w:p>
        </w:tc>
        <w:tc>
          <w:tcPr/>
          <w:p>
            <w:pPr>
              <w:pStyle w:val="Compact"/>
            </w:pPr>
            <w:r>
              <w:t xml:space="preserve">Grounds commercial integrity in covenant identity:</w:t>
            </w:r>
            <w:r>
              <w:t xml:space="preserve"> </w:t>
            </w:r>
            <w:r>
              <w:t xml:space="preserve">“abomination to the LORD your God”</w:t>
            </w:r>
          </w:p>
        </w:tc>
      </w:tr>
      <w:tr>
        <w:tc>
          <w:tcPr/>
          <w:p>
            <w:pPr>
              <w:pStyle w:val="Compact"/>
            </w:pPr>
            <w:r>
              <w:t xml:space="preserve">17–19</w:t>
            </w:r>
          </w:p>
        </w:tc>
        <w:tc>
          <w:tcPr/>
          <w:p>
            <w:pPr>
              <w:pStyle w:val="Compact"/>
            </w:pPr>
            <w:r>
              <w:t xml:space="preserve">Remember Amalek’s attack on the weakest Israelites; when the LORD gives rest, blot out Amalek’s memory; do not forget</w:t>
            </w:r>
          </w:p>
        </w:tc>
        <w:tc>
          <w:tcPr/>
          <w:p>
            <w:pPr>
              <w:pStyle w:val="Compact"/>
            </w:pPr>
            <w:r>
              <w:t xml:space="preserve">Closes the chapter with a communal memory obligation; covenant faithfulness has enemies that must be named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Dignity in Judgment: Even the Guilty Are Brothers</w:t>
            </w:r>
          </w:p>
        </w:tc>
      </w:tr>
      <w:tr>
        <w:tc>
          <w:tcPr/>
          <w:p>
            <w:pPr>
              <w:pStyle w:val="Compact"/>
            </w:pPr>
            <w:r>
              <w:t xml:space="preserve">2</w:t>
            </w:r>
          </w:p>
        </w:tc>
        <w:tc>
          <w:tcPr/>
          <w:p>
            <w:pPr>
              <w:pStyle w:val="Compact"/>
            </w:pPr>
            <w:r>
              <w:t xml:space="preserve">4</w:t>
            </w:r>
          </w:p>
        </w:tc>
        <w:tc>
          <w:tcPr/>
          <w:p>
            <w:pPr>
              <w:pStyle w:val="Compact"/>
            </w:pPr>
            <w:r>
              <w:t xml:space="preserve">The Laborer’s Due: No One Works Without Benefit</w:t>
            </w:r>
          </w:p>
        </w:tc>
      </w:tr>
      <w:tr>
        <w:tc>
          <w:tcPr/>
          <w:p>
            <w:pPr>
              <w:pStyle w:val="Compact"/>
            </w:pPr>
            <w:r>
              <w:t xml:space="preserve">3</w:t>
            </w:r>
          </w:p>
        </w:tc>
        <w:tc>
          <w:tcPr/>
          <w:p>
            <w:pPr>
              <w:pStyle w:val="Compact"/>
            </w:pPr>
            <w:r>
              <w:t xml:space="preserve">5–10</w:t>
            </w:r>
          </w:p>
        </w:tc>
        <w:tc>
          <w:tcPr/>
          <w:p>
            <w:pPr>
              <w:pStyle w:val="Compact"/>
            </w:pPr>
            <w:r>
              <w:t xml:space="preserve">Family Solidarity: Protecting the Widow and the Name</w:t>
            </w:r>
          </w:p>
        </w:tc>
      </w:tr>
      <w:tr>
        <w:tc>
          <w:tcPr/>
          <w:p>
            <w:pPr>
              <w:pStyle w:val="Compact"/>
            </w:pPr>
            <w:r>
              <w:t xml:space="preserve">4</w:t>
            </w:r>
          </w:p>
        </w:tc>
        <w:tc>
          <w:tcPr/>
          <w:p>
            <w:pPr>
              <w:pStyle w:val="Compact"/>
            </w:pPr>
            <w:r>
              <w:t xml:space="preserve">11–12</w:t>
            </w:r>
          </w:p>
        </w:tc>
        <w:tc>
          <w:tcPr/>
          <w:p>
            <w:pPr>
              <w:pStyle w:val="Compact"/>
            </w:pPr>
            <w:r>
              <w:t xml:space="preserve">Restraint in Conflict: Limits on Even Defensive Action</w:t>
            </w:r>
          </w:p>
        </w:tc>
      </w:tr>
      <w:tr>
        <w:tc>
          <w:tcPr/>
          <w:p>
            <w:pPr>
              <w:pStyle w:val="Compact"/>
            </w:pPr>
            <w:r>
              <w:t xml:space="preserve">5</w:t>
            </w:r>
          </w:p>
        </w:tc>
        <w:tc>
          <w:tcPr/>
          <w:p>
            <w:pPr>
              <w:pStyle w:val="Compact"/>
            </w:pPr>
            <w:r>
              <w:t xml:space="preserve">13–16</w:t>
            </w:r>
          </w:p>
        </w:tc>
        <w:tc>
          <w:tcPr/>
          <w:p>
            <w:pPr>
              <w:pStyle w:val="Compact"/>
            </w:pPr>
            <w:r>
              <w:t xml:space="preserve">Commercial Integrity: Honest Weights as Covenant Obedience</w:t>
            </w:r>
          </w:p>
        </w:tc>
      </w:tr>
      <w:tr>
        <w:tc>
          <w:tcPr/>
          <w:p>
            <w:pPr>
              <w:pStyle w:val="Compact"/>
            </w:pPr>
            <w:r>
              <w:t xml:space="preserve">6</w:t>
            </w:r>
          </w:p>
        </w:tc>
        <w:tc>
          <w:tcPr/>
          <w:p>
            <w:pPr>
              <w:pStyle w:val="Compact"/>
            </w:pPr>
            <w:r>
              <w:t xml:space="preserve">17–19</w:t>
            </w:r>
          </w:p>
        </w:tc>
        <w:tc>
          <w:tcPr/>
          <w:p>
            <w:pPr>
              <w:pStyle w:val="Compact"/>
            </w:pPr>
            <w:r>
              <w:t xml:space="preserve">Covenantal Memory: Name the Enemy, Do Not Forget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Covenant holiness governs every domain of Israel’s common life — from the courtroom to the marketplace to the family to the battlefield.</w:t>
      </w:r>
    </w:p>
    <w:p>
      <w:pPr>
        <w:pStyle w:val="BodyText"/>
      </w:pPr>
      <w:r>
        <w:rPr>
          <w:b/>
          <w:bCs/>
        </w:rPr>
        <w:t xml:space="preserve">Primary Claim:</w:t>
      </w:r>
      <w:r>
        <w:t xml:space="preserve"> </w:t>
      </w:r>
      <w:r>
        <w:t xml:space="preserve">God calls His covenant people to inhabit every domain of common life with the integrity, dignity, and loyalty that reflects His own character — and to resist whatever opposes or degrades that calling.</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Receive the dignity God assigns to the guilty — and refuse to strip it away.</w:t>
      </w:r>
      <w:r>
        <w:t xml:space="preserve"> </w:t>
      </w:r>
      <w:r>
        <w:rPr>
          <w:i/>
          <w:iCs/>
        </w:rPr>
        <w:t xml:space="preserve">(Mind/belief)</w:t>
      </w:r>
      <w:r>
        <w:t xml:space="preserve"> </w:t>
      </w:r>
      <w:r>
        <w:t xml:space="preserve">The flogging limit in verses 1–3 is not humanitarian sentimentalism — it is a theological claim: even the person who stands convicted of wrongdoing remains a</w:t>
      </w:r>
      <w:r>
        <w:t xml:space="preserve"> </w:t>
      </w:r>
      <w:r>
        <w:t xml:space="preserve">“brother,”</w:t>
      </w:r>
      <w:r>
        <w:t xml:space="preserve"> </w:t>
      </w:r>
      <w:r>
        <w:t xml:space="preserve">a covenant member bearing God’s image. This means how we treat those under discipline — in courts, in churches, in families — is itself a theological statement about who we believe that person is. When we humiliate, shame beyond what is warranted, or strip a person of dignity in punishment, we are contradicting what God has declared about them. Receive the dignity God assigns to every person, including those who have done wrong, as a fixed truth — and let it govern how you speak about and treat them in their lowest moments.</w:t>
      </w:r>
    </w:p>
    <w:p>
      <w:pPr>
        <w:pStyle w:val="BodyText"/>
      </w:pPr>
      <w:r>
        <w:rPr>
          <w:b/>
          <w:bCs/>
        </w:rPr>
        <w:t xml:space="preserve">2. Let the doctrine of the laborer’s due change how you compensate and acknowledge those who serve you.</w:t>
      </w:r>
      <w:r>
        <w:t xml:space="preserve"> </w:t>
      </w:r>
      <w:r>
        <w:rPr>
          <w:i/>
          <w:iCs/>
        </w:rPr>
        <w:t xml:space="preserve">(Will/behavior)</w:t>
      </w:r>
      <w:r>
        <w:t xml:space="preserve"> </w:t>
      </w:r>
      <w:r>
        <w:t xml:space="preserve">The ox is not muzzled — it eats from what it threshes. This is not merely a labor-relations principle; it is a window into God’s own character as one who sees labor and insists that the laborer benefit from it. Wherever you have people working in your employ, your home, your church, or your organization — examine whether they are being</w:t>
      </w:r>
      <w:r>
        <w:t xml:space="preserve"> </w:t>
      </w:r>
      <w:r>
        <w:t xml:space="preserve">“muzzled.”</w:t>
      </w:r>
      <w:r>
        <w:t xml:space="preserve"> </w:t>
      </w:r>
      <w:r>
        <w:t xml:space="preserve">Are they giving and giving while you consume what their work produces without ensuring they share in it? The application Paul makes to gospel ministers is the most urgent form of this question: do the people whose labor in the Word feeds your soul receive the material care that reflects the weight of what they do?</w:t>
      </w:r>
    </w:p>
    <w:p>
      <w:pPr>
        <w:pStyle w:val="BodyText"/>
      </w:pPr>
      <w:r>
        <w:rPr>
          <w:b/>
          <w:bCs/>
        </w:rPr>
        <w:t xml:space="preserve">3. Refuse the cultural permission to abandon family obligation when it costs something.</w:t>
      </w:r>
      <w:r>
        <w:t xml:space="preserve"> </w:t>
      </w:r>
      <w:r>
        <w:rPr>
          <w:i/>
          <w:iCs/>
        </w:rPr>
        <w:t xml:space="preserve">(Will/behavior)</w:t>
      </w:r>
      <w:r>
        <w:t xml:space="preserve"> </w:t>
      </w:r>
      <w:r>
        <w:t xml:space="preserve">The levirate law is embarrassing to some modern readers precisely because it insists that family solidarity is not optional. The sandal-removal ceremony exists because the default human impulse is to calculate cost and opt out. The man who refused faced public shame — not because refusing was understandable but because some obligations are not negotiable among the people of God. The specific mechanism is embedded in Israel’s context, but the underlying claim is not: the covenant community is one in which the vulnerable are not abandoned when caring for them is inconvenient. Identify where you have quietly opted out of a genuine family or community obligation because the cost was higher than you wanted to pay — and name it honestly before God.</w:t>
      </w:r>
    </w:p>
    <w:p>
      <w:pPr>
        <w:pStyle w:val="BodyText"/>
      </w:pPr>
      <w:r>
        <w:rPr>
          <w:b/>
          <w:bCs/>
        </w:rPr>
        <w:t xml:space="preserve">4. Let your commercial conduct be an act of worship, not merely a compliance exercise.</w:t>
      </w:r>
      <w:r>
        <w:t xml:space="preserve"> </w:t>
      </w:r>
      <w:r>
        <w:rPr>
          <w:i/>
          <w:iCs/>
        </w:rPr>
        <w:t xml:space="preserve">(Affections/worship)</w:t>
      </w:r>
      <w:r>
        <w:t xml:space="preserve"> </w:t>
      </w:r>
      <w:r>
        <w:t xml:space="preserve">“A full and fair weight you shall have”</w:t>
      </w:r>
      <w:r>
        <w:t xml:space="preserve"> </w:t>
      </w:r>
      <w:r>
        <w:t xml:space="preserve">— and then comes the stunning covenant ground:</w:t>
      </w:r>
      <w:r>
        <w:t xml:space="preserve"> </w:t>
      </w:r>
      <w:r>
        <w:t xml:space="preserve">“that your days may be long in the land that the LORD your God is giving you”</w:t>
      </w:r>
      <w:r>
        <w:t xml:space="preserve"> </w:t>
      </w:r>
      <w:r>
        <w:t xml:space="preserve">(v. 15). Commercial honesty is not merely civic virtue in Israel; it is covenant faithfulness. When you misrepresent, overcharge, underdeliver, use fine print to obscure what a fair transaction would require, or simply cut corners in ways you would never want exposed — you are not just violating a business ethic. You are violating your covenant. The marketplace is a place of worship or a place of idolatry; there is no neutral ground. Ask yourself whether the way you conduct business — contracts, invoices, negotiations, expense reporting — could be set before God as an offering.</w:t>
      </w:r>
    </w:p>
    <w:p>
      <w:pPr>
        <w:pStyle w:val="BodyText"/>
      </w:pPr>
      <w:r>
        <w:rPr>
          <w:b/>
          <w:bCs/>
        </w:rPr>
        <w:t xml:space="preserve">5. Name what opposes the covenant and do not allow yourself to forget it.</w:t>
      </w:r>
      <w:r>
        <w:t xml:space="preserve"> </w:t>
      </w:r>
      <w:r>
        <w:rPr>
          <w:i/>
          <w:iCs/>
        </w:rPr>
        <w:t xml:space="preserve">(Mind/belief)</w:t>
      </w:r>
      <w:r>
        <w:t xml:space="preserve"> </w:t>
      </w:r>
      <w:r>
        <w:t xml:space="preserve">The Amalek command is about covenantal memory — a command not to let the community forget what happened, who did it, and what it revealed about those who will attack the weakest when no one is looking. The specific historical command belongs to Israel’s unique redemptive-historical moment, but the underlying discipline is permanent: covenant communities must maintain a clear-eyed memory of what opposes God’s purposes and must not normalize, accommodate, or forget it through the passage of time. In your own life, where have you allowed a slow drift toward accommodating what you once rightly recognized as an enemy of your soul, your family, or your community’s faithfulness? The command is to remember — and to refuse to let comfort erase what clarity once saw.</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Deuteronomy 25 insists on the comprehensive scope of God’s covenant claim over Israel’s common life. God is not merely concerned with Israel’s worship in the sanctuary but with the texture of her courtrooms, her family structures, her commercial exchanges, and her communal memory. The chapter reveals a God who sees the humiliated criminal, the laboring ox, the vulnerable widow, the cheated customer, and the weakest member of the traveling community — and who legislates with precision for each of them. This is not legal exhaustiveness for its own sake; it is a portrait of a God whose holiness is infinitely particular, who cares about the grain of daily life because all of daily life belongs to Him. The grounding of commercial honesty in covenant identity (v. 16:</w:t>
      </w:r>
      <w:r>
        <w:t xml:space="preserve"> </w:t>
      </w:r>
      <w:r>
        <w:t xml:space="preserve">“abomination to the LORD your God”</w:t>
      </w:r>
      <w:r>
        <w:t xml:space="preserve">) is especially significant: God’s character as a God of truth is the ultimate warrant for every fair weight in every marketplace.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The Reformed tradition’s insistence on the lordship of Christ over every sphere of human life — what Abraham Kuyper famously described as</w:t>
      </w:r>
      <w:r>
        <w:t xml:space="preserve"> </w:t>
      </w:r>
      <w:r>
        <w:t xml:space="preserve">“every square inch”</w:t>
      </w:r>
      <w:r>
        <w:t xml:space="preserve"> </w:t>
      </w:r>
      <w:r>
        <w:t xml:space="preserve">— finds some of its deepest Old Testament grounding in chapters like Deuteronomy 25. Here the covenant does not merely govern Israel’s vertical relationship with God; it claims horizontal jurisdiction over courtrooms, families, commerce, and national memory. The Reformed understanding of the law’s third use — the law as guide for the redeemed community in its grateful obedience — is precisely illustrated here: these regulations are not given to a people earning their way into covenant but to a people already redeemed from Egypt, now being shaped into a community that reflects their Redeemer’s character. Paul’s use of verse 4 in 1 Corinthians 9 and 1 Timothy 5 demonstrates the canonical continuity between Israel’s covenant life and the church’s, and validates the Reformed hermeneutical instinct that the law’s underlying moral logic carries forward even where its specific ceremonial or civil mechanisms do not.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God’s claim on your life does not stop at the church door or the Bible study chair. It walks into the courtroom with you, sits down at your desk, enters your family’s hardest conversations, and stands behind the counter with you when you name a price. Every section of this chapter says the same thing from a different angle: covenant people inhabit every corner of their lives with the integrity that reflects who their God is. The question is not whether God has jurisdiction over your workplace, your marketplace, or your family obligations — He does, and He always has. The question is whether you are living like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a miscellaneous collection with no unifying claim.</w:t>
      </w:r>
      <w:r>
        <w:t xml:space="preserve"> </w:t>
      </w:r>
      <w:r>
        <w:t xml:space="preserve">The most common homiletical failure with Deuteronomy 25 is to move through it law by law as a series of disconnected curiosities —</w:t>
      </w:r>
      <w:r>
        <w:t xml:space="preserve"> </w:t>
      </w:r>
      <w:r>
        <w:t xml:space="preserve">“and here’s a strange one about sandals, and here’s one about an ox”</w:t>
      </w:r>
      <w:r>
        <w:t xml:space="preserve"> </w:t>
      </w:r>
      <w:r>
        <w:t xml:space="preserve">— without identifying the unifying concern that binds them. The chapter has a spine: covenant holiness pressed into every domain of common life. Preach that claim and let the individual laws serve as its illustrations, not as isolated exhibits in a museum.</w:t>
      </w:r>
    </w:p>
    <w:p>
      <w:pPr>
        <w:numPr>
          <w:ilvl w:val="0"/>
          <w:numId w:val="1002"/>
        </w:numPr>
      </w:pPr>
      <w:r>
        <w:rPr>
          <w:b/>
          <w:bCs/>
        </w:rPr>
        <w:t xml:space="preserve">Skipping or trivializing vv. 11–12 out of embarrassment.</w:t>
      </w:r>
      <w:r>
        <w:t xml:space="preserve"> </w:t>
      </w:r>
      <w:r>
        <w:t xml:space="preserve">The penalty in verses 11–12 will make modern readers uncomfortable, and the temptation is to skip it or pass over it with a nervous comment. But this text belongs to the chapter and should be addressed honestly: it concerns the limits of even defensive action and the protection of procreative capacity in a community whose survival depended on it. A preacher who simply omits it models selective engagement with Scripture that teaches the congregation to do the same.</w:t>
      </w:r>
    </w:p>
    <w:p>
      <w:pPr>
        <w:numPr>
          <w:ilvl w:val="0"/>
          <w:numId w:val="1002"/>
        </w:numPr>
      </w:pPr>
      <w:r>
        <w:rPr>
          <w:b/>
          <w:bCs/>
        </w:rPr>
        <w:t xml:space="preserve">Moralizing the levirate law without its theological grounding.</w:t>
      </w:r>
      <w:r>
        <w:t xml:space="preserve"> </w:t>
      </w:r>
      <w:r>
        <w:t xml:space="preserve">It is easy to extract an application like</w:t>
      </w:r>
      <w:r>
        <w:t xml:space="preserve"> </w:t>
      </w:r>
      <w:r>
        <w:t xml:space="preserve">“care for widows”</w:t>
      </w:r>
      <w:r>
        <w:t xml:space="preserve"> </w:t>
      </w:r>
      <w:r>
        <w:t xml:space="preserve">from vv. 5–10 — and that application is not wrong — but it misses the specifically covenantal concern: the dead man’s name, his inheritance, his participation in the community’s ongoing life through an heir. The law is not just social welfare; it is about the preservation of a family’s place in the covenant community and the line through which God’s promises were advancing. The Ruth narrative is the essential canonical companion that fills out what this law meant in practice.</w:t>
      </w:r>
    </w:p>
    <w:p>
      <w:pPr>
        <w:numPr>
          <w:ilvl w:val="0"/>
          <w:numId w:val="1002"/>
        </w:numPr>
      </w:pPr>
      <w:r>
        <w:rPr>
          <w:b/>
          <w:bCs/>
        </w:rPr>
        <w:t xml:space="preserve">Over-spiritualizing the Amalek command or under-grounding it historically.</w:t>
      </w:r>
      <w:r>
        <w:t xml:space="preserve"> </w:t>
      </w:r>
      <w:r>
        <w:t xml:space="preserve">Two opposite errors are common: (1) treating vv. 17–19 as merely a spiritual metaphor for fighting sin in one’s heart — which evacuates its historical force; and (2) treating it as a perpetual license for religious communities to designate and destroy enemies — which fails to account for the unique, unrepeatable nature of Israel’s theocratic commission. The text should be read in its redemptive-historical location, applied through the principle of covenantal memory (name and resist what opposes God’s purposes), and held within the canonical trajectory that shows the Amalek commission as completed and closed in the Samuel narrative.</w:t>
      </w:r>
    </w:p>
    <w:p>
      <w:pPr>
        <w:numPr>
          <w:ilvl w:val="0"/>
          <w:numId w:val="1002"/>
        </w:numPr>
      </w:pPr>
      <w:r>
        <w:rPr>
          <w:b/>
          <w:bCs/>
        </w:rPr>
        <w:t xml:space="preserve">Missing Paul’s canonical use of v. 4 and its hermeneutical implications.</w:t>
      </w:r>
      <w:r>
        <w:t xml:space="preserve"> </w:t>
      </w:r>
      <w:r>
        <w:t xml:space="preserve">Verse 4 is easy to read as a minor agricultural footnote, but Paul’s use of it in two letters establishes it as one of the most hermeneutically instructive single verses in Deuteronomy. A preacher who notes this connection teaches the congregation how to read the law canonically — which is a gift that outlasts any single sermon. Do not treat it as a curiosity; treat it as a window into how the New Testament reads the Old.</w:t>
      </w:r>
    </w:p>
    <w:p>
      <w:pPr>
        <w:numPr>
          <w:ilvl w:val="0"/>
          <w:numId w:val="1002"/>
        </w:numPr>
      </w:pPr>
      <w:r>
        <w:rPr>
          <w:b/>
          <w:bCs/>
        </w:rPr>
        <w:t xml:space="preserve">Reducing the dishonest-weights prohibition to business ethics.</w:t>
      </w:r>
      <w:r>
        <w:t xml:space="preserve"> </w:t>
      </w:r>
      <w:r>
        <w:t xml:space="preserve">The grounding of commercial integrity in covenant identity —</w:t>
      </w:r>
      <w:r>
        <w:t xml:space="preserve"> </w:t>
      </w:r>
      <w:r>
        <w:t xml:space="preserve">“abomination to the LORD your God,”</w:t>
      </w:r>
      <w:r>
        <w:t xml:space="preserve"> </w:t>
      </w:r>
      <w:r>
        <w:t xml:space="preserve">covenant long-life in the land — means this is not merely a business ethics lesson. It is a claim about worship. The person who uses false weights is not simply cheating a customer; they are declaring by their conduct that they do not actually believe their God sees, values truth, or governs their marketplace. Applications that stay at the level of</w:t>
      </w:r>
      <w:r>
        <w:t xml:space="preserve"> </w:t>
      </w:r>
      <w:r>
        <w:t xml:space="preserve">“be honest in business”</w:t>
      </w:r>
      <w:r>
        <w:t xml:space="preserve"> </w:t>
      </w:r>
      <w:r>
        <w:t xml:space="preserve">without pressing into the worshipping heart behind the commercial act miss the covenantal depth of the text.</w:t>
      </w:r>
    </w:p>
    <w:p>
      <w:r>
        <w:pict>
          <v:rect style="width:0;height:1.5pt" o:hralign="center" o:hrstd="t" o:hr="t"/>
        </w:pict>
      </w:r>
    </w:p>
    <w:p>
      <w:pPr>
        <w:pStyle w:val="FirstParagraph"/>
      </w:pPr>
      <w:r>
        <w:rPr>
          <w:i/>
          <w:iCs/>
        </w:rPr>
        <w:t xml:space="preserve">Output filename: 05 Deuteronomy 25.docx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2026-07-14T21:02:09Z</dcterms:created>
  <dcterms:modified xsi:type="dcterms:W3CDTF">2026-07-14T21:02:09Z</dcterms:modified>
</cp:coreProperties>
</file>

<file path=docProps/custom.xml><?xml version="1.0" encoding="utf-8"?>
<Properties xmlns="http://schemas.openxmlformats.org/officeDocument/2006/custom-properties" xmlns:vt="http://schemas.openxmlformats.org/officeDocument/2006/docPropsVTypes"/>
</file>